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eastAsia="Times New Roman" w:cs="Times New Roman"/>
          <w:b/>
          <w:bCs/>
          <w:sz w:val="24"/>
          <w:szCs w:val="24"/>
        </w:rPr>
        <w:t xml:space="preserve">  </w:t>
      </w:r>
      <w:r>
        <w:rPr>
          <w:rFonts w:cs="Times New Roman"/>
          <w:b/>
          <w:bCs/>
          <w:sz w:val="24"/>
          <w:szCs w:val="24"/>
        </w:rPr>
        <w:t>Утверждаю»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cs="Times New Roman"/>
          <w:sz w:val="24"/>
          <w:szCs w:val="24"/>
        </w:rPr>
        <w:t>Начальник АТЦ ООО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«Самарские</w:t>
      </w:r>
      <w:r>
        <w:rPr>
          <w:rFonts w:eastAsia="Tahoma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коммунальные системы»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cs="Times New Roman"/>
          <w:sz w:val="24"/>
          <w:szCs w:val="24"/>
        </w:rPr>
        <w:t>_______________ П.В. Иванов</w:t>
      </w:r>
    </w:p>
    <w:p>
      <w:pPr>
        <w:pStyle w:val="Normal"/>
        <w:widowControl w:val="false"/>
        <w:spacing w:before="0" w:after="60"/>
        <w:jc w:val="center"/>
        <w:rPr/>
      </w:pPr>
      <w:r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</w:t>
      </w:r>
      <w:r>
        <w:rPr>
          <w:rFonts w:eastAsia="Times New Roman" w:cs="Times New Roman"/>
          <w:sz w:val="24"/>
          <w:szCs w:val="24"/>
          <w:lang w:val="en-US"/>
        </w:rPr>
        <w:t>11</w:t>
      </w:r>
      <w:r>
        <w:rPr>
          <w:rFonts w:eastAsia="Times New Roman" w:cs="Times New Roman"/>
          <w:sz w:val="24"/>
          <w:szCs w:val="24"/>
          <w:lang w:val="ru-RU"/>
        </w:rPr>
        <w:t xml:space="preserve"> апреля</w:t>
      </w:r>
      <w:r>
        <w:rPr>
          <w:rFonts w:cs="Times New Roman"/>
          <w:sz w:val="24"/>
          <w:szCs w:val="24"/>
          <w:lang w:val="ru-RU"/>
        </w:rPr>
        <w:t xml:space="preserve"> </w:t>
      </w:r>
      <w:r>
        <w:rPr>
          <w:rFonts w:cs="Times New Roman"/>
          <w:sz w:val="24"/>
          <w:szCs w:val="24"/>
        </w:rPr>
        <w:t>2022 г.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Техническое задание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на техническое обслуживание и ремонт транспортного средства </w:t>
      </w:r>
      <w:r>
        <w:rPr>
          <w:rFonts w:cs="Times New Roman"/>
          <w:b/>
          <w:bCs/>
          <w:sz w:val="24"/>
          <w:szCs w:val="24"/>
          <w:lang w:val="en-US"/>
        </w:rPr>
        <w:t>Hyundai Tucson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9699" w:type="dxa"/>
        <w:jc w:val="left"/>
        <w:tblInd w:w="-324" w:type="dxa"/>
        <w:tblCellMar>
          <w:top w:w="105" w:type="dxa"/>
          <w:left w:w="95" w:type="dxa"/>
          <w:bottom w:w="105" w:type="dxa"/>
          <w:right w:w="105" w:type="dxa"/>
        </w:tblCellMar>
      </w:tblPr>
      <w:tblGrid>
        <w:gridCol w:w="483"/>
        <w:gridCol w:w="2750"/>
        <w:gridCol w:w="6466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 (наименование, адреса)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Юридический адрес:443056, г. Самара, ул. Луначарского,56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Почтовый адрес:       443056, г. Самара, ул. Луначарского,56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Основание для проведения работ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Регламентное техническое обслуживание (далее ТО) и дополнительный ремонт транспортного средства (далее ТС)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zh-CN" w:bidi="ar-SA"/>
              </w:rPr>
              <w:t>Hyundai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zh-CN" w:bidi="ar-SA"/>
              </w:rPr>
              <w:t xml:space="preserve">Tucson, 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  <w:em w:val="none"/>
                <w:lang w:val="ru-RU" w:eastAsia="zh-CN" w:bidi="ar-SA"/>
              </w:rPr>
              <w:t>гос. № а679оу 763,</w:t>
            </w:r>
          </w:p>
          <w:p>
            <w:pPr>
              <w:pStyle w:val="Style22"/>
              <w:snapToGrid w:val="false"/>
              <w:spacing w:before="0" w:after="0"/>
              <w:jc w:val="both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en-US" w:eastAsia="zh-CN" w:bidi="ar-SA"/>
              </w:rPr>
              <w:t xml:space="preserve">VIN </w:t>
            </w:r>
            <w:r>
              <w:rPr>
                <w:rFonts w:eastAsia="Times New Roman" w:cs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  <w:em w:val="none"/>
                <w:lang w:val="ru-RU" w:eastAsia="zh-CN" w:bidi="ar-SA"/>
              </w:rPr>
              <w:t>XWEJ3813DK0000190, год выпуска 2018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г. Самара, ул. Подшипниковая, 2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Источник финансирование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Производственная программа.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и назначение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Для поддержания ТС в исправном состоянии и надлежащем виде.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Приложение № 1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Режим  работы производства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1318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Состав работ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17"/>
              <w:spacing w:lineRule="auto" w:line="240" w:before="0" w:after="6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по диагностике, ТО и дополнительному ремонту ТС, в том числе: регулировку узлов и агрегатов, развал-схождение, ремонт подвески и ходовой части, двигателя, тормозной системы и электрооборудования, кузовной ремонт.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Работы по </w:t>
            </w:r>
            <w:r>
              <w:rPr>
                <w:rFonts w:cs="Times New Roman"/>
                <w:sz w:val="24"/>
                <w:szCs w:val="24"/>
                <w:lang w:val="ru-RU"/>
              </w:rPr>
              <w:t>ТО и дополнительному ремонту,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выполняются с использованием оборудования, запасных частей, деталей, агрегатов и узлов, смазочных материалов Исполнителя.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Стоимость регламентного ТО и нормо-часа ремонтных работ зафиксирована в договоре на оказание услуг  (Приложение № 2 к договору).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Стоимость запасных частей и материалов определяется рыночной стоимостью на момент выполнения работ Исполнителем и подлежит согласованию с Заказчиком.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Перечень необходимых запасных частей и материалов отражается в заказ-наряде перед началом выполнения работ. Заказ-наряд подлежит согласованию с Заказчиком.</w:t>
            </w:r>
          </w:p>
          <w:p>
            <w:pPr>
              <w:pStyle w:val="Style17"/>
              <w:spacing w:lineRule="auto" w:line="240" w:before="0" w:after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предоставляет Заказчику бесплатное хранение ТС на охраняемой территории на время ожидания работ и после их окончания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 Заказчика отсутствует обязанность приобретения всего предусмотренного объема работ                              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Требования к используемому оборудованию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Применяемое оборудование, используемое при выполнении работ, должно быть сертифицировано, испытано и иметь технические паспорта.</w:t>
            </w:r>
          </w:p>
        </w:tc>
      </w:tr>
      <w:tr>
        <w:trPr>
          <w:trHeight w:val="41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Оформление принимаемых решений в ходе выполнения работ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Услуги предоставляются на основании поданной Заказчиком заявки.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случае,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Заказчиком.</w:t>
            </w:r>
          </w:p>
        </w:tc>
      </w:tr>
      <w:tr>
        <w:trPr>
          <w:trHeight w:val="251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Исходные данные, для  выполнения работ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Деффектовочная ведомость Заказчика или заявка на ремонт.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природоохранным мероприятиям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Техническое требование к технологическому оборудованию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Технологическое оборудование и инструмент должны соответствовать стандартам и техническим условиям РФ.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утилизации (захоронению отходов)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принимает на себя обязанности по сбору и утилизации отходов, образовавшихся при проведении ремонта ТС  Заказчика.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1. Счет на оплату.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2. Акт выполненных работ.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3. Счет-фактура.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Заказ-наряд.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Один экземпляр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Дополнительные требования и особые условия </w:t>
            </w:r>
          </w:p>
        </w:tc>
        <w:tc>
          <w:tcPr>
            <w:tcW w:w="64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 xml:space="preserve">1.Исполнитель должен иметь подтверждённый документами опыт  работы с транспортными средствами 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zh-CN" w:bidi="ar-SA"/>
              </w:rPr>
              <w:t>Hyundai.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 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</w:rPr>
              <w:t>. 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недостатка, до дня выдачи ТС по окончании ремонта.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. 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ind w:left="0" w:right="0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ind w:left="0" w:right="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ind w:left="0" w:right="0" w:hanging="0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cs="Times New Roman"/>
          <w:sz w:val="24"/>
          <w:szCs w:val="24"/>
        </w:rPr>
        <w:t>на ТО и ремонт ТС</w:t>
      </w:r>
    </w:p>
    <w:p>
      <w:pPr>
        <w:pStyle w:val="Normal"/>
        <w:ind w:left="0" w:right="0" w:hanging="0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en-US"/>
        </w:rPr>
        <w:t>Hyundai Tucson</w:t>
      </w:r>
    </w:p>
    <w:p>
      <w:pPr>
        <w:pStyle w:val="Normal"/>
        <w:ind w:left="0" w:right="0" w:hanging="0"/>
        <w:jc w:val="center"/>
        <w:rPr/>
      </w:pPr>
      <w:r>
        <w:rPr>
          <w:rFonts w:cs="Times New Roman"/>
          <w:b w:val="false"/>
          <w:bCs w:val="false"/>
          <w:sz w:val="24"/>
          <w:szCs w:val="24"/>
          <w:lang w:val="en-US"/>
        </w:rPr>
        <w:t xml:space="preserve">                                                                                                   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  <w:sz w:val="24"/>
          <w:szCs w:val="24"/>
        </w:rPr>
        <w:t>стоимости услуг на регламентное техническое обслуживание</w:t>
      </w: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и </w:t>
      </w:r>
    </w:p>
    <w:p>
      <w:pPr>
        <w:pStyle w:val="Normal"/>
        <w:jc w:val="center"/>
        <w:rPr>
          <w:rFonts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нормо-часа дополнительных ремонтных работ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6076" w:type="dxa"/>
        <w:jc w:val="left"/>
        <w:tblInd w:w="1335" w:type="dxa"/>
        <w:tblCellMar>
          <w:top w:w="55" w:type="dxa"/>
          <w:left w:w="51" w:type="dxa"/>
          <w:bottom w:w="55" w:type="dxa"/>
          <w:right w:w="55" w:type="dxa"/>
        </w:tblCellMar>
      </w:tblPr>
      <w:tblGrid>
        <w:gridCol w:w="470"/>
        <w:gridCol w:w="1008"/>
        <w:gridCol w:w="2602"/>
        <w:gridCol w:w="1995"/>
      </w:tblGrid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ТО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>
                <w:rFonts w:cs="Times New Roman"/>
                <w:b/>
                <w:bCs/>
                <w:sz w:val="24"/>
                <w:szCs w:val="24"/>
              </w:rPr>
              <w:t>Регламентный пробег ТС, км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Стоимость, руб. без НДС</w:t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/>
            </w:pPr>
            <w:r>
              <w:rPr>
                <w:rFonts w:cs="Times New Roman"/>
                <w:b/>
                <w:bCs/>
                <w:sz w:val="24"/>
                <w:szCs w:val="24"/>
              </w:rPr>
              <w:t>ТО-15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224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000 —</w:t>
            </w:r>
            <w:r>
              <w:rPr>
                <w:rFonts w:cs="Times New Roman"/>
                <w:sz w:val="24"/>
                <w:szCs w:val="24"/>
              </w:rPr>
              <w:t xml:space="preserve"> 226 </w:t>
            </w:r>
            <w:r>
              <w:rPr>
                <w:rFonts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/>
            </w:pPr>
            <w:r>
              <w:rPr>
                <w:rFonts w:cs="Times New Roman"/>
                <w:b/>
                <w:bCs/>
                <w:sz w:val="24"/>
                <w:szCs w:val="24"/>
              </w:rPr>
              <w:t>ТО-16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239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000 —</w:t>
            </w:r>
            <w:r>
              <w:rPr>
                <w:rFonts w:cs="Times New Roman"/>
                <w:sz w:val="24"/>
                <w:szCs w:val="24"/>
              </w:rPr>
              <w:t xml:space="preserve"> 241 </w:t>
            </w:r>
            <w:r>
              <w:rPr>
                <w:rFonts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/>
            </w:pPr>
            <w:r>
              <w:rPr>
                <w:rFonts w:cs="Times New Roman"/>
                <w:b/>
                <w:bCs/>
                <w:sz w:val="24"/>
                <w:szCs w:val="24"/>
              </w:rPr>
              <w:t>ТО-17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254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000 —</w:t>
            </w:r>
            <w:r>
              <w:rPr>
                <w:rFonts w:cs="Times New Roman"/>
                <w:sz w:val="24"/>
                <w:szCs w:val="24"/>
              </w:rPr>
              <w:t xml:space="preserve"> 256 </w:t>
            </w:r>
            <w:r>
              <w:rPr>
                <w:rFonts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/>
            </w:pPr>
            <w:r>
              <w:rPr>
                <w:rFonts w:cs="Times New Roman"/>
                <w:b/>
                <w:bCs/>
                <w:sz w:val="24"/>
                <w:szCs w:val="24"/>
              </w:rPr>
              <w:t>ТО-1</w:t>
            </w:r>
            <w:r>
              <w:rPr>
                <w:rFonts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  <w:lang w:val="en-US"/>
              </w:rPr>
              <w:t>69 000</w:t>
            </w:r>
            <w:r>
              <w:rPr>
                <w:rFonts w:cs="Times New Roman"/>
                <w:sz w:val="24"/>
                <w:szCs w:val="24"/>
              </w:rPr>
              <w:t xml:space="preserve"> — 2</w:t>
            </w:r>
            <w:r>
              <w:rPr>
                <w:rFonts w:cs="Times New Roman"/>
                <w:sz w:val="24"/>
                <w:szCs w:val="24"/>
                <w:lang w:val="en-US"/>
              </w:rPr>
              <w:t>71 000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/>
            </w:pPr>
            <w:r>
              <w:rPr>
                <w:rFonts w:cs="Times New Roman"/>
                <w:b/>
                <w:bCs/>
                <w:sz w:val="24"/>
                <w:szCs w:val="24"/>
              </w:rPr>
              <w:t>ТО-1</w:t>
            </w:r>
            <w:r>
              <w:rPr>
                <w:rFonts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Times New Roman"/>
                <w:sz w:val="24"/>
                <w:szCs w:val="24"/>
                <w:lang w:val="en-US"/>
              </w:rPr>
              <w:t>284 000</w:t>
            </w:r>
            <w:r>
              <w:rPr>
                <w:rFonts w:cs="Times New Roman"/>
                <w:sz w:val="24"/>
                <w:szCs w:val="24"/>
              </w:rPr>
              <w:t xml:space="preserve"> — </w:t>
            </w:r>
            <w:r>
              <w:rPr>
                <w:rFonts w:cs="Times New Roman"/>
                <w:sz w:val="24"/>
                <w:szCs w:val="24"/>
                <w:lang w:val="en-US"/>
              </w:rPr>
              <w:t>286 000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/>
            </w:pPr>
            <w:r>
              <w:rPr>
                <w:rFonts w:cs="Times New Roman"/>
                <w:b/>
                <w:bCs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26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  <w:lang w:val="en-US"/>
              </w:rPr>
              <w:t>99 000</w:t>
            </w:r>
            <w:r>
              <w:rPr>
                <w:rFonts w:cs="Times New Roman"/>
                <w:sz w:val="24"/>
                <w:szCs w:val="24"/>
              </w:rPr>
              <w:t xml:space="preserve"> — </w:t>
            </w:r>
            <w:r>
              <w:rPr>
                <w:rFonts w:cs="Times New Roman"/>
                <w:sz w:val="24"/>
                <w:szCs w:val="24"/>
                <w:lang w:val="en-US"/>
              </w:rPr>
              <w:t>301 000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6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Нормо-час мех.ремонта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6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Нормо-час кузовного ремонта</w:t>
            </w:r>
          </w:p>
        </w:tc>
        <w:tc>
          <w:tcPr>
            <w:tcW w:w="19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57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57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57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Начальник АТЦ                                                                                                    П.В. Иванов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LibreOffice/6.3.4.2$Windows_X86_64 LibreOffice_project/60da17e045e08f1793c57c00ba83cdfce946d0aa</Application>
  <Pages>4</Pages>
  <Words>665</Words>
  <Characters>4506</Characters>
  <CharactersWithSpaces>5895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2018-03-29T15:43:00Z</dcterms:created>
  <dc:creator>User</dc:creator>
  <dc:description/>
  <dc:language>ru-RU</dc:language>
  <cp:lastModifiedBy/>
  <cp:lastPrinted>2022-04-11T09:54:30Z</cp:lastPrinted>
  <dcterms:modified xsi:type="dcterms:W3CDTF">2022-04-11T10:57:15Z</dcterms:modified>
  <cp:revision>33</cp:revision>
  <dc:subject/>
  <dc:title/>
</cp:coreProperties>
</file>